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302.06: Superintendent Professional Development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encourages the superintendent to continue professional growth by being involved in professional organizations, attending conferences, continuing education, and participating in other professional activities.</w:t>
        <w:br w:type="textWrapping"/>
        <w:br w:type="textWrapping"/>
        <w:t xml:space="preserve">It is the responsibility of the superintendent to arrange the superintendent's schedule in order to enable attendance at various conferences and events.  If a conference or event requires the superintendent to be absent from the office for more than five days, requires overnight travel, or involves unusual expense, the superintendent will bring it to the attention of the board president prior to attending the event.</w:t>
        <w:br w:type="textWrapping"/>
        <w:br w:type="textWrapping"/>
        <w:t xml:space="preserve">The superintendent will report to the board after an event.</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w:t>
              <w:br w:type="textWrapping"/>
              <w:t xml:space="preserve">281 I.A.C. 12.7.</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281 I.A.C. 12.7</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8">
              <w:r w:rsidDel="00000000" w:rsidR="00000000" w:rsidRPr="00000000">
                <w:rPr>
                  <w:rFonts w:ascii="Lato" w:cs="Lato" w:eastAsia="Lato" w:hAnsi="Lato"/>
                  <w:color w:val="0563c1"/>
                  <w:u w:val="single"/>
                  <w:rtl w:val="0"/>
                </w:rPr>
                <w:t xml:space="preserve">Professional Development</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303.07</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9">
              <w:r w:rsidDel="00000000" w:rsidR="00000000" w:rsidRPr="00000000">
                <w:rPr>
                  <w:rFonts w:ascii="Lato" w:cs="Lato" w:eastAsia="Lato" w:hAnsi="Lato"/>
                  <w:color w:val="0563c1"/>
                  <w:u w:val="single"/>
                  <w:rtl w:val="0"/>
                </w:rPr>
                <w:t xml:space="preserve">Administrator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401.07</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0">
              <w:r w:rsidDel="00000000" w:rsidR="00000000" w:rsidRPr="00000000">
                <w:rPr>
                  <w:rFonts w:ascii="Lato" w:cs="Lato" w:eastAsia="Lato" w:hAnsi="Lato"/>
                  <w:color w:val="0563c1"/>
                  <w:u w:val="single"/>
                  <w:rtl w:val="0"/>
                </w:rPr>
                <w:t xml:space="preserve">Employee Travel Compensation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402.05</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Required Professional Development for Employees</w:t>
              </w:r>
            </w:hyperlink>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ZQJxlWmYOVJplus1ryZ58OZcg==" TargetMode="External"/><Relationship Id="rId10" Type="http://schemas.openxmlformats.org/officeDocument/2006/relationships/hyperlink" Target="https://simbli.eboardsolutions.com/Policy/ViewPolicy.aspx?S=36031104&amp;revid=AifaUde6slshplusnslshxDcR3wew6A==" TargetMode="External"/><Relationship Id="rId9" Type="http://schemas.openxmlformats.org/officeDocument/2006/relationships/hyperlink" Target="https://simbli.eboardsolutions.com/Policy/ViewPolicy.aspx?S=36031104&amp;revid=NnrYCypknzECvNyplusUjEMI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rule/281.12.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aqv5aPVRO2x6COHxo4kgIIHAg==">CgMxLjAyCGguZ2pkZ3hzOAByITF0cktDMUxSazduOWVMd0l6NXQ2Tk95OGg4Qlo5VWR4dw==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2024-02-15T14:56:00Z</dcterms:created>
  <dc:creator>Linda Heisdorffer</dc:creator>
</cp:coreProperties>
</file>